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86" w:rsidRPr="00AC7A86" w:rsidRDefault="00AC7A86" w:rsidP="00AC7A86">
      <w:pPr>
        <w:jc w:val="center"/>
        <w:rPr>
          <w:rFonts w:ascii="Times New Roman" w:hAnsi="Times New Roman" w:cs="Times New Roman"/>
          <w:b/>
          <w:sz w:val="24"/>
          <w:szCs w:val="24"/>
        </w:rPr>
      </w:pPr>
      <w:r w:rsidRPr="00AC7A86">
        <w:rPr>
          <w:rFonts w:ascii="Times New Roman" w:hAnsi="Times New Roman" w:cs="Times New Roman"/>
          <w:b/>
          <w:sz w:val="24"/>
          <w:szCs w:val="24"/>
        </w:rPr>
        <w:t>Ç.Ü. CEYHAN MÜHENDİSLİK FAKÜLTESİ</w:t>
      </w:r>
    </w:p>
    <w:p w:rsidR="00AC7A86" w:rsidRPr="00AC7A86" w:rsidRDefault="00EF0008" w:rsidP="00AC7A86">
      <w:pPr>
        <w:jc w:val="center"/>
        <w:rPr>
          <w:rFonts w:ascii="Times New Roman" w:hAnsi="Times New Roman" w:cs="Times New Roman"/>
          <w:b/>
          <w:sz w:val="24"/>
          <w:szCs w:val="24"/>
        </w:rPr>
      </w:pPr>
      <w:r>
        <w:rPr>
          <w:rFonts w:ascii="Times New Roman" w:hAnsi="Times New Roman" w:cs="Times New Roman"/>
          <w:b/>
          <w:sz w:val="24"/>
          <w:szCs w:val="24"/>
        </w:rPr>
        <w:t>KİMYA</w:t>
      </w:r>
      <w:r w:rsidR="00AC7A86" w:rsidRPr="00AC7A86">
        <w:rPr>
          <w:rFonts w:ascii="Times New Roman" w:hAnsi="Times New Roman" w:cs="Times New Roman"/>
          <w:b/>
          <w:sz w:val="24"/>
          <w:szCs w:val="24"/>
        </w:rPr>
        <w:t xml:space="preserve"> MÜHENDİSLİĞİ BÖLÜM BAŞKANLIĞI’NA</w:t>
      </w:r>
    </w:p>
    <w:p w:rsidR="00AC7A86" w:rsidRPr="00AC7A86" w:rsidRDefault="00AC7A86" w:rsidP="00AC7A86">
      <w:pPr>
        <w:jc w:val="both"/>
        <w:rPr>
          <w:rFonts w:ascii="Times New Roman" w:hAnsi="Times New Roman" w:cs="Times New Roman"/>
        </w:rPr>
      </w:pPr>
    </w:p>
    <w:p w:rsidR="00AC7A86" w:rsidRDefault="00AC7A86" w:rsidP="00AC7A86">
      <w:pPr>
        <w:spacing w:line="480" w:lineRule="auto"/>
        <w:ind w:firstLine="708"/>
        <w:jc w:val="both"/>
        <w:rPr>
          <w:rFonts w:ascii="Times New Roman" w:hAnsi="Times New Roman" w:cs="Times New Roman"/>
          <w:sz w:val="24"/>
          <w:szCs w:val="24"/>
        </w:rPr>
      </w:pPr>
      <w:r w:rsidRPr="00AC7A86">
        <w:rPr>
          <w:rFonts w:ascii="Times New Roman" w:hAnsi="Times New Roman" w:cs="Times New Roman"/>
          <w:sz w:val="24"/>
          <w:szCs w:val="24"/>
        </w:rPr>
        <w:t>Bölümünüz</w:t>
      </w:r>
      <w:proofErr w:type="gramStart"/>
      <w:r w:rsidRPr="00AC7A86">
        <w:rPr>
          <w:rFonts w:ascii="Times New Roman" w:hAnsi="Times New Roman" w:cs="Times New Roman"/>
          <w:sz w:val="24"/>
          <w:szCs w:val="24"/>
        </w:rPr>
        <w:t>………………………………</w:t>
      </w:r>
      <w:proofErr w:type="gramEnd"/>
      <w:r w:rsidRPr="00AC7A86">
        <w:rPr>
          <w:rFonts w:ascii="Times New Roman" w:hAnsi="Times New Roman" w:cs="Times New Roman"/>
          <w:sz w:val="24"/>
          <w:szCs w:val="24"/>
        </w:rPr>
        <w:t>numaralı öğrencisiyim. Çukurova Üniversitesi Ön Lisans Eğitim-Öğretim ve sınav yönetmeliğinin 24. Maddesinin 8. Fıkrasına göre aşağıdaki tabloda belirtilen dersleri Genel Not Ortalamamı yükseltmek amacıyla almak istiyorum. Gereğinin yapılmasını arz ederim.</w:t>
      </w:r>
      <w:r w:rsidR="001F3713">
        <w:rPr>
          <w:rFonts w:ascii="Times New Roman" w:hAnsi="Times New Roman" w:cs="Times New Roman"/>
          <w:sz w:val="24"/>
          <w:szCs w:val="24"/>
        </w:rPr>
        <w:t xml:space="preserve">   ………/………/202</w:t>
      </w:r>
      <w:r w:rsidR="005A4903">
        <w:rPr>
          <w:rFonts w:ascii="Times New Roman" w:hAnsi="Times New Roman" w:cs="Times New Roman"/>
          <w:sz w:val="24"/>
          <w:szCs w:val="24"/>
        </w:rPr>
        <w:t>1</w:t>
      </w:r>
      <w:r w:rsidR="002369E9">
        <w:rPr>
          <w:rFonts w:ascii="Times New Roman" w:hAnsi="Times New Roman" w:cs="Times New Roman"/>
          <w:sz w:val="24"/>
          <w:szCs w:val="24"/>
        </w:rPr>
        <w:t>.</w:t>
      </w:r>
      <w:bookmarkStart w:id="0" w:name="_GoBack"/>
      <w:bookmarkEnd w:id="0"/>
    </w:p>
    <w:p w:rsidR="004F51E1" w:rsidRDefault="004F51E1" w:rsidP="004F51E1">
      <w:pPr>
        <w:spacing w:line="480" w:lineRule="auto"/>
        <w:ind w:firstLine="708"/>
        <w:jc w:val="center"/>
        <w:rPr>
          <w:rFonts w:ascii="Times New Roman" w:hAnsi="Times New Roman" w:cs="Times New Roman"/>
          <w:sz w:val="24"/>
          <w:szCs w:val="24"/>
        </w:rPr>
      </w:pPr>
    </w:p>
    <w:p w:rsidR="001F3713" w:rsidRPr="004F51E1" w:rsidRDefault="004F51E1" w:rsidP="004F51E1">
      <w:pPr>
        <w:pStyle w:val="AralkYok"/>
        <w:ind w:left="5664" w:firstLine="708"/>
        <w:jc w:val="center"/>
        <w:rPr>
          <w:rFonts w:ascii="Times New Roman" w:hAnsi="Times New Roman" w:cs="Times New Roman"/>
          <w:sz w:val="24"/>
          <w:szCs w:val="24"/>
        </w:rPr>
      </w:pPr>
      <w:r w:rsidRPr="004F51E1">
        <w:rPr>
          <w:rFonts w:ascii="Times New Roman" w:hAnsi="Times New Roman" w:cs="Times New Roman"/>
          <w:sz w:val="24"/>
          <w:szCs w:val="24"/>
        </w:rPr>
        <w:t>Adı Soyadı</w:t>
      </w:r>
    </w:p>
    <w:p w:rsidR="004F51E1" w:rsidRPr="004F51E1" w:rsidRDefault="004F51E1" w:rsidP="004F51E1">
      <w:pPr>
        <w:pStyle w:val="AralkYok"/>
        <w:ind w:left="5664" w:firstLine="708"/>
        <w:jc w:val="center"/>
        <w:rPr>
          <w:rFonts w:ascii="Times New Roman" w:hAnsi="Times New Roman" w:cs="Times New Roman"/>
          <w:sz w:val="24"/>
          <w:szCs w:val="24"/>
        </w:rPr>
      </w:pPr>
      <w:r w:rsidRPr="004F51E1">
        <w:rPr>
          <w:rFonts w:ascii="Times New Roman" w:hAnsi="Times New Roman" w:cs="Times New Roman"/>
          <w:sz w:val="24"/>
          <w:szCs w:val="24"/>
        </w:rPr>
        <w:t>İmza</w:t>
      </w:r>
    </w:p>
    <w:p w:rsidR="001F3713" w:rsidRDefault="001F3713" w:rsidP="001F3713">
      <w:pPr>
        <w:spacing w:line="480" w:lineRule="auto"/>
        <w:ind w:left="5664" w:firstLine="708"/>
        <w:jc w:val="center"/>
        <w:rPr>
          <w:rFonts w:ascii="Times New Roman" w:hAnsi="Times New Roman" w:cs="Times New Roman"/>
          <w:sz w:val="24"/>
          <w:szCs w:val="24"/>
        </w:rPr>
      </w:pPr>
    </w:p>
    <w:p w:rsidR="001F3713" w:rsidRDefault="001F3713" w:rsidP="001F3713">
      <w:pPr>
        <w:spacing w:line="480" w:lineRule="auto"/>
        <w:jc w:val="both"/>
        <w:rPr>
          <w:rFonts w:ascii="Times New Roman" w:hAnsi="Times New Roman" w:cs="Times New Roman"/>
          <w:sz w:val="24"/>
          <w:szCs w:val="24"/>
        </w:rPr>
      </w:pPr>
      <w:r>
        <w:rPr>
          <w:rFonts w:ascii="Times New Roman" w:hAnsi="Times New Roman" w:cs="Times New Roman"/>
          <w:sz w:val="24"/>
          <w:szCs w:val="24"/>
        </w:rPr>
        <w:t>Adresi:</w:t>
      </w:r>
    </w:p>
    <w:p w:rsidR="00AC7A86" w:rsidRDefault="00AC7A86" w:rsidP="00AC7A86">
      <w:pPr>
        <w:jc w:val="both"/>
      </w:pPr>
    </w:p>
    <w:tbl>
      <w:tblPr>
        <w:tblStyle w:val="TabloKlavuzu"/>
        <w:tblW w:w="0" w:type="auto"/>
        <w:jc w:val="center"/>
        <w:tblLook w:val="04A0" w:firstRow="1" w:lastRow="0" w:firstColumn="1" w:lastColumn="0" w:noHBand="0" w:noVBand="1"/>
      </w:tblPr>
      <w:tblGrid>
        <w:gridCol w:w="1117"/>
        <w:gridCol w:w="3973"/>
        <w:gridCol w:w="1001"/>
        <w:gridCol w:w="850"/>
        <w:gridCol w:w="1418"/>
      </w:tblGrid>
      <w:tr w:rsidR="00AC7A86" w:rsidTr="001F3713">
        <w:trPr>
          <w:jc w:val="center"/>
        </w:trPr>
        <w:tc>
          <w:tcPr>
            <w:tcW w:w="1117" w:type="dxa"/>
            <w:vAlign w:val="center"/>
          </w:tcPr>
          <w:p w:rsidR="00AC7A86" w:rsidRPr="00AC7A86" w:rsidRDefault="00AC7A86" w:rsidP="00AC7A86">
            <w:pPr>
              <w:jc w:val="center"/>
              <w:rPr>
                <w:rFonts w:ascii="Times New Roman" w:hAnsi="Times New Roman" w:cs="Times New Roman"/>
              </w:rPr>
            </w:pPr>
            <w:r w:rsidRPr="00AC7A86">
              <w:rPr>
                <w:rFonts w:ascii="Times New Roman" w:hAnsi="Times New Roman" w:cs="Times New Roman"/>
              </w:rPr>
              <w:t>Dersin Kodu</w:t>
            </w:r>
          </w:p>
        </w:tc>
        <w:tc>
          <w:tcPr>
            <w:tcW w:w="3973" w:type="dxa"/>
            <w:vAlign w:val="center"/>
          </w:tcPr>
          <w:p w:rsidR="00AC7A86" w:rsidRPr="00AC7A86" w:rsidRDefault="00AC7A86" w:rsidP="00AC7A86">
            <w:pPr>
              <w:jc w:val="center"/>
              <w:rPr>
                <w:rFonts w:ascii="Times New Roman" w:hAnsi="Times New Roman" w:cs="Times New Roman"/>
              </w:rPr>
            </w:pPr>
            <w:r w:rsidRPr="00AC7A86">
              <w:rPr>
                <w:rFonts w:ascii="Times New Roman" w:hAnsi="Times New Roman" w:cs="Times New Roman"/>
              </w:rPr>
              <w:t>Dersin Adı</w:t>
            </w:r>
          </w:p>
        </w:tc>
        <w:tc>
          <w:tcPr>
            <w:tcW w:w="1001" w:type="dxa"/>
            <w:vAlign w:val="center"/>
          </w:tcPr>
          <w:p w:rsidR="00AC7A86" w:rsidRPr="00AC7A86" w:rsidRDefault="00AC7A86" w:rsidP="00AC7A86">
            <w:pPr>
              <w:jc w:val="center"/>
              <w:rPr>
                <w:rFonts w:ascii="Times New Roman" w:hAnsi="Times New Roman" w:cs="Times New Roman"/>
              </w:rPr>
            </w:pPr>
            <w:r w:rsidRPr="00AC7A86">
              <w:rPr>
                <w:rFonts w:ascii="Times New Roman" w:hAnsi="Times New Roman" w:cs="Times New Roman"/>
              </w:rPr>
              <w:t>Kredi</w:t>
            </w:r>
          </w:p>
        </w:tc>
        <w:tc>
          <w:tcPr>
            <w:tcW w:w="850" w:type="dxa"/>
            <w:vAlign w:val="center"/>
          </w:tcPr>
          <w:p w:rsidR="00AC7A86" w:rsidRPr="00AC7A86" w:rsidRDefault="00AC7A86" w:rsidP="00AC7A86">
            <w:pPr>
              <w:jc w:val="center"/>
              <w:rPr>
                <w:rFonts w:ascii="Times New Roman" w:hAnsi="Times New Roman" w:cs="Times New Roman"/>
              </w:rPr>
            </w:pPr>
            <w:r w:rsidRPr="00AC7A86">
              <w:rPr>
                <w:rFonts w:ascii="Times New Roman" w:hAnsi="Times New Roman" w:cs="Times New Roman"/>
              </w:rPr>
              <w:t>AKTS</w:t>
            </w:r>
          </w:p>
        </w:tc>
        <w:tc>
          <w:tcPr>
            <w:tcW w:w="1418" w:type="dxa"/>
            <w:vAlign w:val="center"/>
          </w:tcPr>
          <w:p w:rsidR="00AC7A86" w:rsidRPr="00AC7A86" w:rsidRDefault="00AC7A86" w:rsidP="00AC7A86">
            <w:pPr>
              <w:jc w:val="center"/>
              <w:rPr>
                <w:rFonts w:ascii="Times New Roman" w:hAnsi="Times New Roman" w:cs="Times New Roman"/>
              </w:rPr>
            </w:pPr>
            <w:proofErr w:type="spellStart"/>
            <w:r w:rsidRPr="00AC7A86">
              <w:rPr>
                <w:rFonts w:ascii="Times New Roman" w:hAnsi="Times New Roman" w:cs="Times New Roman"/>
              </w:rPr>
              <w:t>Transkripteki</w:t>
            </w:r>
            <w:proofErr w:type="spellEnd"/>
          </w:p>
          <w:p w:rsidR="00AC7A86" w:rsidRPr="00AC7A86" w:rsidRDefault="00AC7A86" w:rsidP="00AC7A86">
            <w:pPr>
              <w:jc w:val="center"/>
              <w:rPr>
                <w:rFonts w:ascii="Times New Roman" w:hAnsi="Times New Roman" w:cs="Times New Roman"/>
              </w:rPr>
            </w:pPr>
            <w:r w:rsidRPr="00AC7A86">
              <w:rPr>
                <w:rFonts w:ascii="Times New Roman" w:hAnsi="Times New Roman" w:cs="Times New Roman"/>
              </w:rPr>
              <w:t>Notu</w:t>
            </w:r>
          </w:p>
        </w:tc>
      </w:tr>
      <w:tr w:rsidR="00AC7A86" w:rsidTr="001F3713">
        <w:trPr>
          <w:jc w:val="center"/>
        </w:trPr>
        <w:tc>
          <w:tcPr>
            <w:tcW w:w="1117" w:type="dxa"/>
          </w:tcPr>
          <w:p w:rsidR="00AC7A86" w:rsidRDefault="00AC7A86" w:rsidP="00AC7A86">
            <w:pPr>
              <w:jc w:val="both"/>
            </w:pPr>
          </w:p>
        </w:tc>
        <w:tc>
          <w:tcPr>
            <w:tcW w:w="3973" w:type="dxa"/>
          </w:tcPr>
          <w:p w:rsidR="00AC7A86" w:rsidRDefault="00AC7A86" w:rsidP="00AC7A86">
            <w:pPr>
              <w:jc w:val="both"/>
            </w:pPr>
          </w:p>
        </w:tc>
        <w:tc>
          <w:tcPr>
            <w:tcW w:w="1001" w:type="dxa"/>
          </w:tcPr>
          <w:p w:rsidR="00AC7A86" w:rsidRDefault="00AC7A86" w:rsidP="00AC7A86">
            <w:pPr>
              <w:jc w:val="both"/>
            </w:pPr>
          </w:p>
        </w:tc>
        <w:tc>
          <w:tcPr>
            <w:tcW w:w="850" w:type="dxa"/>
          </w:tcPr>
          <w:p w:rsidR="00AC7A86" w:rsidRDefault="00AC7A86" w:rsidP="00AC7A86">
            <w:pPr>
              <w:jc w:val="both"/>
            </w:pPr>
          </w:p>
        </w:tc>
        <w:tc>
          <w:tcPr>
            <w:tcW w:w="1418" w:type="dxa"/>
          </w:tcPr>
          <w:p w:rsidR="00AC7A86" w:rsidRDefault="00AC7A86" w:rsidP="00AC7A86">
            <w:pPr>
              <w:jc w:val="both"/>
            </w:pPr>
          </w:p>
        </w:tc>
      </w:tr>
      <w:tr w:rsidR="00AC7A86" w:rsidTr="001F3713">
        <w:trPr>
          <w:jc w:val="center"/>
        </w:trPr>
        <w:tc>
          <w:tcPr>
            <w:tcW w:w="1117" w:type="dxa"/>
          </w:tcPr>
          <w:p w:rsidR="00AC7A86" w:rsidRDefault="00AC7A86" w:rsidP="00AC7A86">
            <w:pPr>
              <w:jc w:val="both"/>
            </w:pPr>
          </w:p>
        </w:tc>
        <w:tc>
          <w:tcPr>
            <w:tcW w:w="3973" w:type="dxa"/>
          </w:tcPr>
          <w:p w:rsidR="00AC7A86" w:rsidRDefault="00AC7A86" w:rsidP="00AC7A86">
            <w:pPr>
              <w:jc w:val="both"/>
            </w:pPr>
          </w:p>
        </w:tc>
        <w:tc>
          <w:tcPr>
            <w:tcW w:w="1001" w:type="dxa"/>
          </w:tcPr>
          <w:p w:rsidR="00AC7A86" w:rsidRDefault="00AC7A86" w:rsidP="00AC7A86">
            <w:pPr>
              <w:jc w:val="both"/>
            </w:pPr>
          </w:p>
        </w:tc>
        <w:tc>
          <w:tcPr>
            <w:tcW w:w="850" w:type="dxa"/>
          </w:tcPr>
          <w:p w:rsidR="00AC7A86" w:rsidRDefault="00AC7A86" w:rsidP="00AC7A86">
            <w:pPr>
              <w:jc w:val="both"/>
            </w:pPr>
          </w:p>
        </w:tc>
        <w:tc>
          <w:tcPr>
            <w:tcW w:w="1418" w:type="dxa"/>
          </w:tcPr>
          <w:p w:rsidR="00AC7A86" w:rsidRDefault="00AC7A86" w:rsidP="00AC7A86">
            <w:pPr>
              <w:jc w:val="both"/>
            </w:pPr>
          </w:p>
        </w:tc>
      </w:tr>
      <w:tr w:rsidR="00AC7A86" w:rsidTr="001F3713">
        <w:trPr>
          <w:jc w:val="center"/>
        </w:trPr>
        <w:tc>
          <w:tcPr>
            <w:tcW w:w="1117" w:type="dxa"/>
          </w:tcPr>
          <w:p w:rsidR="00AC7A86" w:rsidRDefault="00AC7A86" w:rsidP="00AC7A86">
            <w:pPr>
              <w:jc w:val="both"/>
            </w:pPr>
          </w:p>
        </w:tc>
        <w:tc>
          <w:tcPr>
            <w:tcW w:w="3973" w:type="dxa"/>
          </w:tcPr>
          <w:p w:rsidR="00AC7A86" w:rsidRDefault="00AC7A86" w:rsidP="00AC7A86">
            <w:pPr>
              <w:jc w:val="both"/>
            </w:pPr>
          </w:p>
        </w:tc>
        <w:tc>
          <w:tcPr>
            <w:tcW w:w="1001" w:type="dxa"/>
          </w:tcPr>
          <w:p w:rsidR="00AC7A86" w:rsidRDefault="00AC7A86" w:rsidP="00AC7A86">
            <w:pPr>
              <w:jc w:val="both"/>
            </w:pPr>
          </w:p>
        </w:tc>
        <w:tc>
          <w:tcPr>
            <w:tcW w:w="850" w:type="dxa"/>
          </w:tcPr>
          <w:p w:rsidR="00AC7A86" w:rsidRDefault="00AC7A86" w:rsidP="00AC7A86">
            <w:pPr>
              <w:jc w:val="both"/>
            </w:pPr>
          </w:p>
        </w:tc>
        <w:tc>
          <w:tcPr>
            <w:tcW w:w="1418" w:type="dxa"/>
          </w:tcPr>
          <w:p w:rsidR="00AC7A86" w:rsidRDefault="00AC7A86" w:rsidP="00AC7A86">
            <w:pPr>
              <w:jc w:val="both"/>
            </w:pPr>
          </w:p>
        </w:tc>
      </w:tr>
      <w:tr w:rsidR="00AC7A86" w:rsidTr="001F3713">
        <w:trPr>
          <w:jc w:val="center"/>
        </w:trPr>
        <w:tc>
          <w:tcPr>
            <w:tcW w:w="1117" w:type="dxa"/>
          </w:tcPr>
          <w:p w:rsidR="00AC7A86" w:rsidRDefault="00AC7A86" w:rsidP="00AC7A86">
            <w:pPr>
              <w:jc w:val="both"/>
            </w:pPr>
          </w:p>
        </w:tc>
        <w:tc>
          <w:tcPr>
            <w:tcW w:w="3973" w:type="dxa"/>
          </w:tcPr>
          <w:p w:rsidR="00AC7A86" w:rsidRDefault="00AC7A86" w:rsidP="00AC7A86">
            <w:pPr>
              <w:jc w:val="both"/>
            </w:pPr>
          </w:p>
        </w:tc>
        <w:tc>
          <w:tcPr>
            <w:tcW w:w="1001" w:type="dxa"/>
          </w:tcPr>
          <w:p w:rsidR="00AC7A86" w:rsidRDefault="00AC7A86" w:rsidP="00AC7A86">
            <w:pPr>
              <w:jc w:val="both"/>
            </w:pPr>
          </w:p>
        </w:tc>
        <w:tc>
          <w:tcPr>
            <w:tcW w:w="850" w:type="dxa"/>
          </w:tcPr>
          <w:p w:rsidR="00AC7A86" w:rsidRDefault="00AC7A86" w:rsidP="00AC7A86">
            <w:pPr>
              <w:jc w:val="both"/>
            </w:pPr>
          </w:p>
        </w:tc>
        <w:tc>
          <w:tcPr>
            <w:tcW w:w="1418" w:type="dxa"/>
          </w:tcPr>
          <w:p w:rsidR="00AC7A86" w:rsidRDefault="00AC7A86" w:rsidP="00AC7A86">
            <w:pPr>
              <w:jc w:val="both"/>
            </w:pPr>
          </w:p>
        </w:tc>
      </w:tr>
      <w:tr w:rsidR="00AC7A86" w:rsidTr="001F3713">
        <w:trPr>
          <w:jc w:val="center"/>
        </w:trPr>
        <w:tc>
          <w:tcPr>
            <w:tcW w:w="1117" w:type="dxa"/>
          </w:tcPr>
          <w:p w:rsidR="00AC7A86" w:rsidRDefault="00AC7A86" w:rsidP="00AC7A86">
            <w:pPr>
              <w:jc w:val="both"/>
            </w:pPr>
          </w:p>
        </w:tc>
        <w:tc>
          <w:tcPr>
            <w:tcW w:w="3973" w:type="dxa"/>
          </w:tcPr>
          <w:p w:rsidR="00AC7A86" w:rsidRDefault="00AC7A86" w:rsidP="00AC7A86">
            <w:pPr>
              <w:jc w:val="both"/>
            </w:pPr>
          </w:p>
        </w:tc>
        <w:tc>
          <w:tcPr>
            <w:tcW w:w="1001" w:type="dxa"/>
          </w:tcPr>
          <w:p w:rsidR="00AC7A86" w:rsidRDefault="00AC7A86" w:rsidP="00AC7A86">
            <w:pPr>
              <w:jc w:val="both"/>
            </w:pPr>
          </w:p>
        </w:tc>
        <w:tc>
          <w:tcPr>
            <w:tcW w:w="850" w:type="dxa"/>
          </w:tcPr>
          <w:p w:rsidR="00AC7A86" w:rsidRDefault="00AC7A86" w:rsidP="00AC7A86">
            <w:pPr>
              <w:jc w:val="both"/>
            </w:pPr>
          </w:p>
        </w:tc>
        <w:tc>
          <w:tcPr>
            <w:tcW w:w="1418" w:type="dxa"/>
          </w:tcPr>
          <w:p w:rsidR="00AC7A86" w:rsidRDefault="00AC7A86" w:rsidP="00AC7A86">
            <w:pPr>
              <w:jc w:val="both"/>
            </w:pPr>
          </w:p>
        </w:tc>
      </w:tr>
      <w:tr w:rsidR="00AC7A86" w:rsidTr="001F3713">
        <w:trPr>
          <w:jc w:val="center"/>
        </w:trPr>
        <w:tc>
          <w:tcPr>
            <w:tcW w:w="1117" w:type="dxa"/>
          </w:tcPr>
          <w:p w:rsidR="00AC7A86" w:rsidRDefault="00AC7A86" w:rsidP="00AC7A86">
            <w:pPr>
              <w:jc w:val="both"/>
            </w:pPr>
          </w:p>
        </w:tc>
        <w:tc>
          <w:tcPr>
            <w:tcW w:w="3973" w:type="dxa"/>
          </w:tcPr>
          <w:p w:rsidR="00AC7A86" w:rsidRDefault="00AC7A86" w:rsidP="00AC7A86">
            <w:pPr>
              <w:jc w:val="both"/>
            </w:pPr>
          </w:p>
        </w:tc>
        <w:tc>
          <w:tcPr>
            <w:tcW w:w="1001" w:type="dxa"/>
          </w:tcPr>
          <w:p w:rsidR="00AC7A86" w:rsidRDefault="00AC7A86" w:rsidP="00AC7A86">
            <w:pPr>
              <w:jc w:val="both"/>
            </w:pPr>
          </w:p>
        </w:tc>
        <w:tc>
          <w:tcPr>
            <w:tcW w:w="850" w:type="dxa"/>
          </w:tcPr>
          <w:p w:rsidR="00AC7A86" w:rsidRDefault="00AC7A86" w:rsidP="00AC7A86">
            <w:pPr>
              <w:jc w:val="both"/>
            </w:pPr>
          </w:p>
        </w:tc>
        <w:tc>
          <w:tcPr>
            <w:tcW w:w="1418" w:type="dxa"/>
          </w:tcPr>
          <w:p w:rsidR="00AC7A86" w:rsidRDefault="00AC7A86" w:rsidP="00AC7A86">
            <w:pPr>
              <w:jc w:val="both"/>
            </w:pPr>
          </w:p>
        </w:tc>
      </w:tr>
      <w:tr w:rsidR="001F3713" w:rsidTr="001F3713">
        <w:trPr>
          <w:jc w:val="center"/>
        </w:trPr>
        <w:tc>
          <w:tcPr>
            <w:tcW w:w="1117" w:type="dxa"/>
          </w:tcPr>
          <w:p w:rsidR="001F3713" w:rsidRDefault="001F3713" w:rsidP="00AC7A86">
            <w:pPr>
              <w:jc w:val="both"/>
            </w:pPr>
          </w:p>
        </w:tc>
        <w:tc>
          <w:tcPr>
            <w:tcW w:w="3973" w:type="dxa"/>
          </w:tcPr>
          <w:p w:rsidR="001F3713" w:rsidRDefault="001F3713" w:rsidP="00AC7A86">
            <w:pPr>
              <w:jc w:val="both"/>
            </w:pPr>
          </w:p>
        </w:tc>
        <w:tc>
          <w:tcPr>
            <w:tcW w:w="1001" w:type="dxa"/>
          </w:tcPr>
          <w:p w:rsidR="001F3713" w:rsidRDefault="001F3713" w:rsidP="00AC7A86">
            <w:pPr>
              <w:jc w:val="both"/>
            </w:pPr>
          </w:p>
        </w:tc>
        <w:tc>
          <w:tcPr>
            <w:tcW w:w="850" w:type="dxa"/>
          </w:tcPr>
          <w:p w:rsidR="001F3713" w:rsidRDefault="001F3713" w:rsidP="00AC7A86">
            <w:pPr>
              <w:jc w:val="both"/>
            </w:pPr>
          </w:p>
        </w:tc>
        <w:tc>
          <w:tcPr>
            <w:tcW w:w="1418" w:type="dxa"/>
          </w:tcPr>
          <w:p w:rsidR="001F3713" w:rsidRDefault="001F3713" w:rsidP="00AC7A86">
            <w:pPr>
              <w:jc w:val="both"/>
            </w:pPr>
          </w:p>
        </w:tc>
      </w:tr>
      <w:tr w:rsidR="001F3713" w:rsidTr="001F3713">
        <w:trPr>
          <w:jc w:val="center"/>
        </w:trPr>
        <w:tc>
          <w:tcPr>
            <w:tcW w:w="1117" w:type="dxa"/>
          </w:tcPr>
          <w:p w:rsidR="001F3713" w:rsidRDefault="001F3713" w:rsidP="00AC7A86">
            <w:pPr>
              <w:jc w:val="both"/>
            </w:pPr>
          </w:p>
        </w:tc>
        <w:tc>
          <w:tcPr>
            <w:tcW w:w="3973" w:type="dxa"/>
          </w:tcPr>
          <w:p w:rsidR="001F3713" w:rsidRDefault="001F3713" w:rsidP="00AC7A86">
            <w:pPr>
              <w:jc w:val="both"/>
            </w:pPr>
          </w:p>
        </w:tc>
        <w:tc>
          <w:tcPr>
            <w:tcW w:w="1001" w:type="dxa"/>
          </w:tcPr>
          <w:p w:rsidR="001F3713" w:rsidRDefault="001F3713" w:rsidP="00AC7A86">
            <w:pPr>
              <w:jc w:val="both"/>
            </w:pPr>
          </w:p>
        </w:tc>
        <w:tc>
          <w:tcPr>
            <w:tcW w:w="850" w:type="dxa"/>
          </w:tcPr>
          <w:p w:rsidR="001F3713" w:rsidRDefault="001F3713" w:rsidP="00AC7A86">
            <w:pPr>
              <w:jc w:val="both"/>
            </w:pPr>
          </w:p>
        </w:tc>
        <w:tc>
          <w:tcPr>
            <w:tcW w:w="1418" w:type="dxa"/>
          </w:tcPr>
          <w:p w:rsidR="001F3713" w:rsidRDefault="001F3713" w:rsidP="00AC7A86">
            <w:pPr>
              <w:jc w:val="both"/>
            </w:pPr>
          </w:p>
        </w:tc>
      </w:tr>
    </w:tbl>
    <w:p w:rsidR="00AC7A86" w:rsidRDefault="00AC7A86" w:rsidP="00AC7A86">
      <w:pPr>
        <w:jc w:val="both"/>
      </w:pPr>
    </w:p>
    <w:p w:rsidR="00AC7A86" w:rsidRDefault="00AC7A86" w:rsidP="00AC7A86">
      <w:pPr>
        <w:jc w:val="both"/>
      </w:pPr>
    </w:p>
    <w:p w:rsidR="001F3713" w:rsidRPr="001F3713" w:rsidRDefault="001F3713" w:rsidP="00AC7A86">
      <w:pPr>
        <w:jc w:val="both"/>
        <w:rPr>
          <w:rFonts w:ascii="Times New Roman" w:hAnsi="Times New Roman" w:cs="Times New Roman"/>
          <w:b/>
          <w:i/>
          <w:u w:val="single"/>
        </w:rPr>
      </w:pPr>
      <w:r w:rsidRPr="001F3713">
        <w:rPr>
          <w:rFonts w:ascii="Times New Roman" w:hAnsi="Times New Roman" w:cs="Times New Roman"/>
          <w:b/>
          <w:i/>
          <w:u w:val="single"/>
        </w:rPr>
        <w:t>İLKELER:</w:t>
      </w:r>
    </w:p>
    <w:p w:rsidR="00130013" w:rsidRPr="001F3713" w:rsidRDefault="00AC7A86" w:rsidP="001F3713">
      <w:pPr>
        <w:spacing w:line="276" w:lineRule="auto"/>
        <w:jc w:val="both"/>
        <w:rPr>
          <w:rFonts w:ascii="Times New Roman" w:hAnsi="Times New Roman" w:cs="Times New Roman"/>
          <w:b/>
          <w:i/>
        </w:rPr>
      </w:pPr>
      <w:r w:rsidRPr="001F3713">
        <w:rPr>
          <w:rFonts w:ascii="Times New Roman" w:hAnsi="Times New Roman" w:cs="Times New Roman"/>
          <w:b/>
          <w:i/>
        </w:rPr>
        <w:t>Ç</w:t>
      </w:r>
      <w:r w:rsidR="001F3713" w:rsidRPr="001F3713">
        <w:rPr>
          <w:rFonts w:ascii="Times New Roman" w:hAnsi="Times New Roman" w:cs="Times New Roman"/>
          <w:b/>
          <w:i/>
        </w:rPr>
        <w:t xml:space="preserve">ukurova Üniversitesi Ön Lisans ve Lisans Eğitim-Öğretim ve Sınav Yönetmeliğinin </w:t>
      </w:r>
      <w:r w:rsidRPr="001F3713">
        <w:rPr>
          <w:rFonts w:ascii="Times New Roman" w:hAnsi="Times New Roman" w:cs="Times New Roman"/>
          <w:b/>
          <w:i/>
        </w:rPr>
        <w:t xml:space="preserve">24. maddenin 8. fıkrasında “Kayıtlı olduğu programda almakla yükümlü olduğu derslerin tamamını almış, başarısız dersi olmayan ancak </w:t>
      </w:r>
      <w:proofErr w:type="spellStart"/>
      <w:r w:rsidRPr="001F3713">
        <w:rPr>
          <w:rFonts w:ascii="Times New Roman" w:hAnsi="Times New Roman" w:cs="Times New Roman"/>
          <w:b/>
          <w:i/>
        </w:rPr>
        <w:t>GNO’su</w:t>
      </w:r>
      <w:proofErr w:type="spellEnd"/>
      <w:r w:rsidRPr="001F3713">
        <w:rPr>
          <w:rFonts w:ascii="Times New Roman" w:hAnsi="Times New Roman" w:cs="Times New Roman"/>
          <w:b/>
          <w:i/>
        </w:rPr>
        <w:t xml:space="preserve"> 2,00’ın altında olduğundan mezuniyet hakkını elde edemeyen öğrenciler 40 AKTS kredisini aşmamak koşuluyla daha önceden DD ve DC notları aldığı diledikleri yarıyıl ve diledikleri derslerden GNO yükseltme sınavına girebilirler. Bu sınavlarda alınacak not, mevcut notun altında ise dikkate alınmaz”.</w:t>
      </w:r>
    </w:p>
    <w:sectPr w:rsidR="00130013" w:rsidRPr="001F3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86"/>
    <w:rsid w:val="00122760"/>
    <w:rsid w:val="001F3713"/>
    <w:rsid w:val="002369E9"/>
    <w:rsid w:val="004F51E1"/>
    <w:rsid w:val="005A4903"/>
    <w:rsid w:val="00AC7A86"/>
    <w:rsid w:val="00CE6A5A"/>
    <w:rsid w:val="00EF0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B8F76-9BE1-45A4-9F06-3DDD3259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C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C7A86"/>
    <w:pPr>
      <w:ind w:left="720"/>
      <w:contextualSpacing/>
    </w:pPr>
  </w:style>
  <w:style w:type="paragraph" w:styleId="AralkYok">
    <w:name w:val="No Spacing"/>
    <w:uiPriority w:val="1"/>
    <w:qFormat/>
    <w:rsid w:val="004F5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152</Words>
  <Characters>873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IMSEC 2019</dc:creator>
  <cp:keywords/>
  <dc:description/>
  <cp:lastModifiedBy>biyokimya</cp:lastModifiedBy>
  <cp:revision>5</cp:revision>
  <dcterms:created xsi:type="dcterms:W3CDTF">2020-07-06T09:35:00Z</dcterms:created>
  <dcterms:modified xsi:type="dcterms:W3CDTF">2021-02-22T08:12:00Z</dcterms:modified>
</cp:coreProperties>
</file>